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E6789" w14:textId="77777777" w:rsidR="007B6528" w:rsidRDefault="00F257E9">
      <w:pPr>
        <w:pStyle w:val="CH"/>
      </w:pPr>
      <w:bookmarkStart w:id="0" w:name="historyclause"/>
      <w:r>
        <w:t>3GPP RAN WG4 Meeting #104-e</w:t>
      </w:r>
      <w:r>
        <w:tab/>
      </w:r>
      <w:r>
        <w:tab/>
      </w:r>
      <w:r>
        <w:rPr>
          <w:lang w:val="en-US"/>
        </w:rPr>
        <w:t>R4-2214448</w:t>
      </w:r>
    </w:p>
    <w:p w14:paraId="0A86D2E8" w14:textId="77777777" w:rsidR="007B6528" w:rsidRDefault="00F257E9">
      <w:pPr>
        <w:pStyle w:val="CH"/>
        <w:tabs>
          <w:tab w:val="clear" w:pos="7920"/>
        </w:tabs>
        <w:rPr>
          <w:b w:val="0"/>
        </w:rPr>
      </w:pPr>
      <w:r>
        <w:t>Online, August 15</w:t>
      </w:r>
      <w:r>
        <w:rPr>
          <w:vertAlign w:val="superscript"/>
        </w:rPr>
        <w:t>th</w:t>
      </w:r>
      <w:r>
        <w:t xml:space="preserve"> – 26</w:t>
      </w:r>
      <w:r>
        <w:rPr>
          <w:vertAlign w:val="superscript"/>
        </w:rPr>
        <w:t>th</w:t>
      </w:r>
      <w:r>
        <w:t>, 2022</w:t>
      </w:r>
    </w:p>
    <w:p w14:paraId="7155C37A" w14:textId="77777777" w:rsidR="007B6528" w:rsidRDefault="007B6528">
      <w:pPr>
        <w:tabs>
          <w:tab w:val="left" w:pos="2160"/>
        </w:tabs>
        <w:rPr>
          <w:rFonts w:ascii="Arial" w:hAnsi="Arial" w:cs="Arial"/>
          <w:b/>
        </w:rPr>
      </w:pPr>
    </w:p>
    <w:p w14:paraId="02391E2E" w14:textId="77777777" w:rsidR="007B6528" w:rsidRDefault="00F257E9">
      <w:pPr>
        <w:pStyle w:val="CH"/>
      </w:pPr>
      <w:r>
        <w:t>Title:</w:t>
      </w:r>
      <w:r>
        <w:tab/>
      </w:r>
      <w:r>
        <w:rPr>
          <w:lang w:val="en-US"/>
        </w:rPr>
        <w:t>WF on FR1 2UL inter-band CA coexistence requirements</w:t>
      </w:r>
      <w:r>
        <w:t xml:space="preserve">  </w:t>
      </w:r>
    </w:p>
    <w:p w14:paraId="64476BC1" w14:textId="77777777" w:rsidR="007B6528" w:rsidRDefault="00F257E9">
      <w:pPr>
        <w:pStyle w:val="CH"/>
      </w:pPr>
      <w:r>
        <w:t>Agenda item:</w:t>
      </w:r>
      <w:r>
        <w:tab/>
        <w:t>11.3.4</w:t>
      </w:r>
    </w:p>
    <w:p w14:paraId="22FDA8EE" w14:textId="77777777" w:rsidR="007B6528" w:rsidRDefault="00F257E9">
      <w:pPr>
        <w:pStyle w:val="CH"/>
        <w:rPr>
          <w:b w:val="0"/>
        </w:rPr>
      </w:pPr>
      <w:r>
        <w:t>Source:</w:t>
      </w:r>
      <w:r>
        <w:tab/>
        <w:t>Apple</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77777777" w:rsidR="007B6528" w:rsidRDefault="00F257E9">
      <w:pPr>
        <w:pStyle w:val="Heading1"/>
        <w:spacing w:after="120"/>
        <w:ind w:left="1138" w:hanging="1138"/>
      </w:pPr>
      <w:r>
        <w:t>1</w:t>
      </w:r>
      <w:r>
        <w:tab/>
        <w:t xml:space="preserve">Background </w:t>
      </w:r>
    </w:p>
    <w:p w14:paraId="0B19CA95" w14:textId="77777777" w:rsidR="007B6528" w:rsidRDefault="007B6528">
      <w:pPr>
        <w:spacing w:after="0"/>
        <w:jc w:val="both"/>
        <w:rPr>
          <w:rFonts w:ascii="Arial" w:hAnsi="Arial" w:cs="Arial"/>
        </w:rPr>
      </w:pPr>
    </w:p>
    <w:p w14:paraId="777D651B" w14:textId="77777777" w:rsidR="007B6528" w:rsidRDefault="00F257E9">
      <w:pPr>
        <w:pStyle w:val="ListParagraph"/>
        <w:numPr>
          <w:ilvl w:val="0"/>
          <w:numId w:val="2"/>
        </w:numPr>
        <w:spacing w:after="120"/>
        <w:jc w:val="both"/>
        <w:rPr>
          <w:rFonts w:ascii="Arial" w:hAnsi="Arial" w:cs="Arial"/>
        </w:rPr>
      </w:pPr>
      <w:r>
        <w:rPr>
          <w:rFonts w:ascii="Arial" w:hAnsi="Arial" w:cs="Arial"/>
          <w:bCs/>
          <w:lang w:val="en-US"/>
        </w:rPr>
        <w:t>The FR1 uplink inter-band CA (two bands) spurious emission for UE coexistence requirements in Table 6.5A.3.2.3-1 in TS 38.101-1 has been derived based on the requirements for single carrier operation from each constituent UL band as specified in Table 6.5.3.2-1 in TS 38.101-1.</w:t>
      </w:r>
    </w:p>
    <w:p w14:paraId="209CC71E" w14:textId="77777777" w:rsidR="007B6528" w:rsidRDefault="007B6528">
      <w:pPr>
        <w:pStyle w:val="ListParagraph"/>
        <w:spacing w:after="120"/>
        <w:jc w:val="both"/>
        <w:rPr>
          <w:rFonts w:ascii="Arial" w:hAnsi="Arial" w:cs="Arial"/>
        </w:rPr>
      </w:pPr>
    </w:p>
    <w:p w14:paraId="398FA071" w14:textId="77777777" w:rsidR="007B6528" w:rsidRDefault="00F257E9">
      <w:pPr>
        <w:pStyle w:val="ListParagraph"/>
        <w:numPr>
          <w:ilvl w:val="0"/>
          <w:numId w:val="2"/>
        </w:numPr>
        <w:spacing w:after="120"/>
        <w:jc w:val="both"/>
        <w:rPr>
          <w:rFonts w:ascii="Arial" w:hAnsi="Arial" w:cs="Arial"/>
        </w:rPr>
      </w:pPr>
      <w:r>
        <w:rPr>
          <w:rFonts w:ascii="Arial" w:hAnsi="Arial" w:cs="Arial"/>
          <w:bCs/>
          <w:lang w:val="en-US"/>
        </w:rPr>
        <w:t xml:space="preserve">The protected bands and frequency ranges for a band combination however are not necessary to cover all the protected bands and frequency ranges from each constituent band due to the reason that one frequency band may be deployed in many different regions and countries, while the other frequency band may not be deployed in all the same regions and countries. </w:t>
      </w:r>
    </w:p>
    <w:p w14:paraId="560AE105" w14:textId="77777777" w:rsidR="007B6528" w:rsidRDefault="007B6528">
      <w:pPr>
        <w:pStyle w:val="ListParagraph"/>
        <w:spacing w:after="120"/>
        <w:jc w:val="both"/>
        <w:rPr>
          <w:rFonts w:ascii="Arial" w:hAnsi="Arial" w:cs="Arial"/>
        </w:rPr>
      </w:pPr>
    </w:p>
    <w:p w14:paraId="7A677213" w14:textId="77777777" w:rsidR="007B6528" w:rsidRDefault="00F257E9">
      <w:pPr>
        <w:pStyle w:val="ListParagraph"/>
        <w:numPr>
          <w:ilvl w:val="0"/>
          <w:numId w:val="2"/>
        </w:numPr>
        <w:spacing w:after="120"/>
        <w:jc w:val="both"/>
        <w:rPr>
          <w:rFonts w:ascii="Arial" w:hAnsi="Arial" w:cs="Arial"/>
        </w:rPr>
      </w:pPr>
      <w:r>
        <w:rPr>
          <w:rFonts w:ascii="Arial" w:hAnsi="Arial" w:cs="Arial"/>
          <w:bCs/>
          <w:lang w:val="en-US"/>
        </w:rPr>
        <w:t>Therefore, the protected bands and frequency ranges for a band combination in principle should be specified based on the intersection set from each constituent band coexistence requirements.</w:t>
      </w:r>
    </w:p>
    <w:p w14:paraId="6D904D5E" w14:textId="77777777" w:rsidR="007B6528" w:rsidRDefault="007B6528">
      <w:pPr>
        <w:pStyle w:val="ListParagraph"/>
        <w:rPr>
          <w:rFonts w:ascii="Arial" w:hAnsi="Arial" w:cs="Arial"/>
        </w:rPr>
      </w:pPr>
    </w:p>
    <w:p w14:paraId="53F502C3" w14:textId="77777777" w:rsidR="007B6528" w:rsidRDefault="00F257E9">
      <w:pPr>
        <w:pStyle w:val="ListParagraph"/>
        <w:numPr>
          <w:ilvl w:val="0"/>
          <w:numId w:val="2"/>
        </w:numPr>
        <w:spacing w:after="120"/>
        <w:jc w:val="both"/>
        <w:rPr>
          <w:rFonts w:ascii="Arial" w:hAnsi="Arial" w:cs="Arial"/>
        </w:rPr>
      </w:pPr>
      <w:r>
        <w:rPr>
          <w:rFonts w:ascii="Arial" w:hAnsi="Arial" w:cs="Arial"/>
          <w:bCs/>
          <w:lang w:val="en-US"/>
        </w:rPr>
        <w:t>Despite the principle on specifying the UE coexistence requirements for a band combination is rather simple and clear, explicitly penning down the requirements in technical specifications is still prone to errors if not checked carefully.</w:t>
      </w:r>
    </w:p>
    <w:p w14:paraId="7977D72A" w14:textId="77777777" w:rsidR="007B6528" w:rsidRDefault="007B6528">
      <w:pPr>
        <w:pStyle w:val="ListParagraph"/>
        <w:rPr>
          <w:rFonts w:ascii="Arial" w:hAnsi="Arial" w:cs="Arial"/>
        </w:rPr>
      </w:pPr>
    </w:p>
    <w:p w14:paraId="05866EC8" w14:textId="77777777" w:rsidR="007B6528" w:rsidRDefault="00F257E9">
      <w:pPr>
        <w:pStyle w:val="ListParagraph"/>
        <w:numPr>
          <w:ilvl w:val="0"/>
          <w:numId w:val="2"/>
        </w:numPr>
        <w:spacing w:after="120"/>
        <w:jc w:val="both"/>
        <w:rPr>
          <w:rFonts w:ascii="Arial" w:hAnsi="Arial" w:cs="Arial"/>
        </w:rPr>
      </w:pPr>
      <w:r>
        <w:rPr>
          <w:rFonts w:ascii="Arial" w:hAnsi="Arial" w:cs="Arial"/>
          <w:lang w:val="en-US"/>
        </w:rPr>
        <w:t xml:space="preserve">In [1] it was proposed that the </w:t>
      </w:r>
      <w:r>
        <w:rPr>
          <w:rFonts w:ascii="Arial" w:hAnsi="Arial" w:cs="Arial"/>
          <w:bCs/>
          <w:lang w:val="en-US"/>
        </w:rPr>
        <w:t>inter-band CA UE coexistence requirements is specified with a normative text as “For inter-band carrier aggregation with uplink assigned to two NR bands, the requirements are the intersection set from each constituent band coexistence requirements as specified in Table 6.5.3.2-1.” without an explicit coexistence table.</w:t>
      </w:r>
    </w:p>
    <w:p w14:paraId="1154A056" w14:textId="77777777" w:rsidR="007B6528" w:rsidRDefault="007B6528">
      <w:pPr>
        <w:pStyle w:val="ListParagraph"/>
        <w:rPr>
          <w:rFonts w:ascii="Arial" w:hAnsi="Arial" w:cs="Arial"/>
        </w:rPr>
      </w:pPr>
    </w:p>
    <w:p w14:paraId="7697C720" w14:textId="77777777" w:rsidR="007B6528" w:rsidRDefault="00F257E9">
      <w:pPr>
        <w:pStyle w:val="ListParagraph"/>
        <w:numPr>
          <w:ilvl w:val="0"/>
          <w:numId w:val="2"/>
        </w:numPr>
        <w:spacing w:after="120"/>
        <w:jc w:val="both"/>
        <w:rPr>
          <w:rFonts w:ascii="Arial" w:hAnsi="Arial" w:cs="Arial"/>
        </w:rPr>
      </w:pPr>
      <w:r>
        <w:rPr>
          <w:rFonts w:ascii="Arial" w:hAnsi="Arial" w:cs="Arial"/>
          <w:bCs/>
          <w:lang w:val="en-US"/>
        </w:rPr>
        <w:t xml:space="preserve">The benefits for not having an explicit coexistence table for band combinations can be perceptibly realized to not only simplify the contents </w:t>
      </w:r>
      <w:r>
        <w:rPr>
          <w:rFonts w:ascii="Arial" w:hAnsi="Arial" w:cs="Arial"/>
          <w:lang w:val="en-US"/>
        </w:rPr>
        <w:t>of the technical specifications</w:t>
      </w:r>
      <w:r>
        <w:rPr>
          <w:rFonts w:ascii="Arial" w:hAnsi="Arial" w:cs="Arial"/>
          <w:bCs/>
          <w:lang w:val="en-US"/>
        </w:rPr>
        <w:t xml:space="preserve"> (16 pages reduction in TS 38.101-1), but also to save time and efforts on </w:t>
      </w:r>
      <w:r>
        <w:rPr>
          <w:rFonts w:ascii="Arial" w:hAnsi="Arial" w:cs="Arial"/>
          <w:lang w:val="en-US"/>
        </w:rPr>
        <w:t>manually checking the errors and the associated CR processes.</w:t>
      </w:r>
    </w:p>
    <w:p w14:paraId="37BF0632" w14:textId="77777777" w:rsidR="007B6528" w:rsidRDefault="007B6528">
      <w:pPr>
        <w:pStyle w:val="ListParagraph"/>
        <w:rPr>
          <w:rFonts w:ascii="Arial" w:hAnsi="Arial" w:cs="Arial"/>
        </w:rPr>
      </w:pPr>
    </w:p>
    <w:p w14:paraId="365D7179" w14:textId="77777777" w:rsidR="007B6528" w:rsidRDefault="00F257E9">
      <w:pPr>
        <w:pStyle w:val="ListParagraph"/>
        <w:numPr>
          <w:ilvl w:val="0"/>
          <w:numId w:val="2"/>
        </w:numPr>
        <w:spacing w:after="120"/>
        <w:jc w:val="both"/>
        <w:rPr>
          <w:rFonts w:ascii="Arial" w:hAnsi="Arial" w:cs="Arial"/>
        </w:rPr>
      </w:pPr>
      <w:r>
        <w:rPr>
          <w:rFonts w:ascii="Arial" w:hAnsi="Arial" w:cs="Arial"/>
        </w:rPr>
        <w:t>During the first-round discussions, the proposal above had received majority supports as a potential way forward on handling 2UL inter-band CA UE co-existence requirements among all the commented companies.</w:t>
      </w:r>
    </w:p>
    <w:p w14:paraId="39D70979" w14:textId="77777777" w:rsidR="007B6528" w:rsidRDefault="007B6528">
      <w:pPr>
        <w:pStyle w:val="ListParagraph"/>
        <w:rPr>
          <w:rFonts w:ascii="Arial" w:hAnsi="Arial" w:cs="Arial"/>
        </w:rPr>
      </w:pPr>
    </w:p>
    <w:p w14:paraId="09932A9F" w14:textId="77777777" w:rsidR="007B6528" w:rsidRDefault="00F257E9">
      <w:pPr>
        <w:pStyle w:val="ListParagraph"/>
        <w:numPr>
          <w:ilvl w:val="0"/>
          <w:numId w:val="2"/>
        </w:numPr>
        <w:spacing w:after="120"/>
        <w:jc w:val="both"/>
        <w:rPr>
          <w:rFonts w:ascii="Arial" w:hAnsi="Arial" w:cs="Arial"/>
        </w:rPr>
      </w:pPr>
      <w:r>
        <w:rPr>
          <w:rFonts w:ascii="Arial" w:hAnsi="Arial" w:cs="Arial"/>
        </w:rPr>
        <w:t>However, there were also a few concerns raised by companies on how to specify the intersection set in the following cases:</w:t>
      </w:r>
    </w:p>
    <w:p w14:paraId="6DD6CA0F" w14:textId="77777777" w:rsidR="007B6528" w:rsidRDefault="007B6528">
      <w:pPr>
        <w:pStyle w:val="ListParagraph"/>
        <w:rPr>
          <w:rFonts w:ascii="Arial" w:hAnsi="Arial" w:cs="Arial"/>
        </w:rPr>
      </w:pPr>
    </w:p>
    <w:p w14:paraId="64129968" w14:textId="77777777" w:rsidR="007B6528" w:rsidRDefault="00F257E9">
      <w:pPr>
        <w:pStyle w:val="ListParagraph"/>
        <w:numPr>
          <w:ilvl w:val="1"/>
          <w:numId w:val="2"/>
        </w:numPr>
        <w:spacing w:after="120"/>
        <w:jc w:val="both"/>
        <w:rPr>
          <w:rFonts w:ascii="Arial" w:hAnsi="Arial" w:cs="Arial"/>
        </w:rPr>
      </w:pPr>
      <w:r>
        <w:rPr>
          <w:rFonts w:ascii="Arial" w:hAnsi="Arial" w:cs="Arial"/>
        </w:rPr>
        <w:t>Requirements specified as frequency ranges applicable for one band may also be applicable to the other band but with different requirements, for example, CA_n1-n3 where both n1 and n3 needs to protect n39 but with different requirements.</w:t>
      </w:r>
    </w:p>
    <w:p w14:paraId="389423A4" w14:textId="77777777" w:rsidR="007B6528" w:rsidRDefault="007B6528">
      <w:pPr>
        <w:pStyle w:val="ListParagraph"/>
        <w:spacing w:after="120"/>
        <w:ind w:left="1440"/>
        <w:jc w:val="both"/>
        <w:rPr>
          <w:rFonts w:ascii="Arial" w:hAnsi="Arial" w:cs="Arial"/>
          <w:sz w:val="10"/>
          <w:szCs w:val="10"/>
        </w:rPr>
      </w:pPr>
    </w:p>
    <w:p w14:paraId="262823E5" w14:textId="77777777" w:rsidR="007B6528" w:rsidRDefault="00F257E9">
      <w:pPr>
        <w:pStyle w:val="ListParagraph"/>
        <w:numPr>
          <w:ilvl w:val="1"/>
          <w:numId w:val="2"/>
        </w:numPr>
        <w:spacing w:after="120"/>
        <w:jc w:val="both"/>
        <w:rPr>
          <w:rFonts w:ascii="Arial" w:hAnsi="Arial" w:cs="Arial"/>
        </w:rPr>
      </w:pPr>
      <w:r>
        <w:rPr>
          <w:rFonts w:ascii="Arial" w:hAnsi="Arial" w:cs="Arial"/>
        </w:rPr>
        <w:t>For CA_n1-n18, where n1 needs to protect the entire n39 range from 1880 – 1920MHz while n18 only needs to protect PHS range in 1884.5 – 1915.7MHz. However, the combination still needs to protect the entire n39 range in the current specifications.</w:t>
      </w:r>
    </w:p>
    <w:p w14:paraId="6CF5CF72" w14:textId="77777777" w:rsidR="007B6528" w:rsidRDefault="007B6528">
      <w:pPr>
        <w:pStyle w:val="ListParagraph"/>
        <w:rPr>
          <w:rFonts w:ascii="Arial" w:hAnsi="Arial" w:cs="Arial"/>
          <w:sz w:val="10"/>
          <w:szCs w:val="10"/>
        </w:rPr>
      </w:pPr>
    </w:p>
    <w:p w14:paraId="2D243EA7" w14:textId="77777777" w:rsidR="007B6528" w:rsidRDefault="00F257E9">
      <w:pPr>
        <w:pStyle w:val="ListParagraph"/>
        <w:numPr>
          <w:ilvl w:val="1"/>
          <w:numId w:val="2"/>
        </w:numPr>
        <w:spacing w:after="120"/>
        <w:jc w:val="both"/>
        <w:rPr>
          <w:rFonts w:ascii="Arial" w:hAnsi="Arial" w:cs="Arial"/>
        </w:rPr>
      </w:pPr>
      <w:r>
        <w:rPr>
          <w:rFonts w:ascii="Arial" w:hAnsi="Arial" w:cs="Arial"/>
        </w:rPr>
        <w:t>A combination is specific to a country where the protected number of bands and ranges are smaller than the intersection set of the two bands.</w:t>
      </w:r>
    </w:p>
    <w:p w14:paraId="6284586B" w14:textId="77777777" w:rsidR="007B6528" w:rsidRDefault="007B6528">
      <w:pPr>
        <w:pStyle w:val="ListParagraph"/>
        <w:rPr>
          <w:rFonts w:ascii="Arial" w:hAnsi="Arial" w:cs="Arial"/>
        </w:rPr>
      </w:pPr>
    </w:p>
    <w:p w14:paraId="0A40F337" w14:textId="77777777" w:rsidR="007B6528" w:rsidRDefault="00F257E9">
      <w:pPr>
        <w:pStyle w:val="ListParagraph"/>
        <w:numPr>
          <w:ilvl w:val="0"/>
          <w:numId w:val="2"/>
        </w:numPr>
        <w:spacing w:after="120"/>
        <w:jc w:val="both"/>
        <w:rPr>
          <w:rFonts w:ascii="Arial" w:hAnsi="Arial" w:cs="Arial"/>
        </w:rPr>
      </w:pPr>
      <w:r>
        <w:rPr>
          <w:rFonts w:ascii="Arial" w:hAnsi="Arial" w:cs="Arial"/>
        </w:rPr>
        <w:t xml:space="preserve">This WF is aimed to follow up with the proposal on specifying the 2UL inter-band CA UE co-existence requirements based on the intersection set of the protected bands and frequency ranges from each constituent band without an </w:t>
      </w:r>
      <w:r>
        <w:rPr>
          <w:rFonts w:ascii="Arial" w:hAnsi="Arial" w:cs="Arial"/>
          <w:bCs/>
          <w:lang w:val="en-US"/>
        </w:rPr>
        <w:t xml:space="preserve">explicit coexistence table to potentially simplify the contents </w:t>
      </w:r>
      <w:r>
        <w:rPr>
          <w:rFonts w:ascii="Arial" w:hAnsi="Arial" w:cs="Arial"/>
          <w:lang w:val="en-US"/>
        </w:rPr>
        <w:t xml:space="preserve">of the </w:t>
      </w:r>
      <w:r>
        <w:rPr>
          <w:rFonts w:ascii="Arial" w:hAnsi="Arial" w:cs="Arial"/>
          <w:lang w:val="en-US"/>
        </w:rPr>
        <w:lastRenderedPageBreak/>
        <w:t xml:space="preserve">technical specifications and </w:t>
      </w:r>
      <w:r>
        <w:rPr>
          <w:rFonts w:ascii="Arial" w:hAnsi="Arial" w:cs="Arial"/>
          <w:bCs/>
          <w:lang w:val="en-US"/>
        </w:rPr>
        <w:t xml:space="preserve">save time and efforts on </w:t>
      </w:r>
      <w:r>
        <w:rPr>
          <w:rFonts w:ascii="Arial" w:hAnsi="Arial" w:cs="Arial"/>
          <w:lang w:val="en-US"/>
        </w:rPr>
        <w:t>manually checking the errors and the associated CR processes.</w:t>
      </w:r>
      <w:r>
        <w:rPr>
          <w:rFonts w:ascii="Arial" w:hAnsi="Arial" w:cs="Arial"/>
          <w:bCs/>
          <w:lang w:val="en-US"/>
        </w:rPr>
        <w:t xml:space="preserve"> </w:t>
      </w:r>
      <w:r>
        <w:rPr>
          <w:rFonts w:ascii="Arial" w:hAnsi="Arial" w:cs="Arial"/>
        </w:rPr>
        <w:t xml:space="preserve">   </w:t>
      </w:r>
    </w:p>
    <w:p w14:paraId="5BF3E605" w14:textId="32666F9D" w:rsidR="007B6528" w:rsidRDefault="00F257E9" w:rsidP="000E431A">
      <w:pPr>
        <w:pStyle w:val="Heading1"/>
        <w:numPr>
          <w:ilvl w:val="0"/>
          <w:numId w:val="3"/>
        </w:numPr>
        <w:ind w:left="1138" w:hanging="1138"/>
      </w:pPr>
      <w:r>
        <w:t>Way forward</w:t>
      </w:r>
    </w:p>
    <w:p w14:paraId="36CC2376" w14:textId="77777777" w:rsidR="007B6528" w:rsidRDefault="007B6528">
      <w:pPr>
        <w:spacing w:after="0"/>
        <w:jc w:val="both"/>
        <w:rPr>
          <w:rFonts w:ascii="Arial" w:hAnsi="Arial" w:cs="Arial"/>
        </w:rPr>
      </w:pPr>
    </w:p>
    <w:p w14:paraId="507930F2" w14:textId="77777777" w:rsidR="007B6528" w:rsidRDefault="00F257E9">
      <w:pPr>
        <w:pStyle w:val="ListParagraph"/>
        <w:numPr>
          <w:ilvl w:val="0"/>
          <w:numId w:val="4"/>
        </w:numPr>
        <w:spacing w:after="0"/>
        <w:jc w:val="both"/>
        <w:rPr>
          <w:rFonts w:ascii="Arial" w:hAnsi="Arial" w:cs="Arial"/>
        </w:rPr>
      </w:pPr>
      <w:r>
        <w:rPr>
          <w:rFonts w:ascii="Arial" w:hAnsi="Arial" w:cs="Arial"/>
        </w:rPr>
        <w:t xml:space="preserve">Companies are encouraged to investigate whether the 2UL inter-band CA UE co-existence requirements can be specified based on the intersection set of the protected bands and frequency ranges from each constituent band without an </w:t>
      </w:r>
      <w:r>
        <w:rPr>
          <w:rFonts w:ascii="Arial" w:hAnsi="Arial" w:cs="Arial"/>
          <w:bCs/>
          <w:lang w:val="en-US"/>
        </w:rPr>
        <w:t>explicit coexistence table.</w:t>
      </w:r>
    </w:p>
    <w:p w14:paraId="54578DE7" w14:textId="77777777" w:rsidR="007B6528" w:rsidRDefault="007B6528">
      <w:pPr>
        <w:spacing w:after="0"/>
        <w:jc w:val="both"/>
        <w:rPr>
          <w:rFonts w:ascii="Arial" w:hAnsi="Arial" w:cs="Arial"/>
        </w:rPr>
      </w:pPr>
    </w:p>
    <w:p w14:paraId="3DEBB687" w14:textId="77777777" w:rsidR="007B6528" w:rsidRDefault="00F257E9">
      <w:pPr>
        <w:pStyle w:val="ListParagraph"/>
        <w:numPr>
          <w:ilvl w:val="0"/>
          <w:numId w:val="4"/>
        </w:numPr>
        <w:spacing w:after="0"/>
        <w:jc w:val="both"/>
        <w:rPr>
          <w:rFonts w:ascii="Arial" w:hAnsi="Arial" w:cs="Arial"/>
        </w:rPr>
      </w:pPr>
      <w:r>
        <w:rPr>
          <w:rFonts w:ascii="Arial" w:hAnsi="Arial" w:cs="Arial"/>
        </w:rPr>
        <w:t xml:space="preserve">Investigate on how to handle the intersection band/ranges with different requirements from each constituent band. </w:t>
      </w:r>
    </w:p>
    <w:p w14:paraId="16C62A31" w14:textId="77777777" w:rsidR="007B6528" w:rsidRDefault="007B6528">
      <w:pPr>
        <w:pStyle w:val="ListParagraph"/>
        <w:rPr>
          <w:rFonts w:ascii="Arial" w:hAnsi="Arial" w:cs="Arial"/>
        </w:rPr>
      </w:pPr>
    </w:p>
    <w:p w14:paraId="4B4D68C6" w14:textId="77777777" w:rsidR="007B6528" w:rsidRDefault="00F257E9">
      <w:pPr>
        <w:pStyle w:val="ListParagraph"/>
        <w:numPr>
          <w:ilvl w:val="0"/>
          <w:numId w:val="4"/>
        </w:numPr>
        <w:spacing w:after="0"/>
        <w:jc w:val="both"/>
        <w:rPr>
          <w:rFonts w:ascii="Arial" w:hAnsi="Arial" w:cs="Arial"/>
        </w:rPr>
      </w:pPr>
      <w:r>
        <w:rPr>
          <w:rFonts w:ascii="Arial" w:hAnsi="Arial" w:cs="Arial"/>
        </w:rPr>
        <w:t>Identify if there are exceptions not applicable to the principle of the intersection set and how to handle them in either a generic or a combination specific approach.</w:t>
      </w:r>
    </w:p>
    <w:p w14:paraId="20E6F449" w14:textId="77777777" w:rsidR="007B6528" w:rsidRDefault="007B6528">
      <w:pPr>
        <w:spacing w:after="120"/>
        <w:jc w:val="both"/>
        <w:rPr>
          <w:rFonts w:ascii="Arial" w:hAnsi="Arial" w:cs="Arial"/>
        </w:rPr>
      </w:pPr>
    </w:p>
    <w:p w14:paraId="57365DE0" w14:textId="77777777" w:rsidR="007B6528" w:rsidRDefault="00F257E9">
      <w:pPr>
        <w:pStyle w:val="Heading1"/>
      </w:pPr>
      <w:r>
        <w:t>3</w:t>
      </w:r>
      <w:r>
        <w:tab/>
        <w:t>Reference</w:t>
      </w:r>
    </w:p>
    <w:p w14:paraId="5BBC2D8B" w14:textId="77777777" w:rsidR="007B6528" w:rsidRDefault="007B6528">
      <w:pPr>
        <w:spacing w:after="0"/>
      </w:pPr>
    </w:p>
    <w:bookmarkEnd w:id="0"/>
    <w:p w14:paraId="5D2C1F29" w14:textId="77777777" w:rsidR="007B6528" w:rsidRDefault="00F257E9">
      <w:pPr>
        <w:pStyle w:val="EX"/>
        <w:jc w:val="both"/>
        <w:rPr>
          <w:rFonts w:ascii="Arial" w:hAnsi="Arial" w:cs="Arial"/>
        </w:rPr>
      </w:pPr>
      <w:r>
        <w:rPr>
          <w:rFonts w:ascii="Arial" w:hAnsi="Arial" w:cs="Arial"/>
        </w:rPr>
        <w:t>R4-2212357 “</w:t>
      </w:r>
      <w:r>
        <w:rPr>
          <w:rFonts w:ascii="Arial" w:hAnsi="Arial" w:cs="Arial"/>
          <w:lang w:val="en-US"/>
        </w:rPr>
        <w:t>On FR1 2UL inter-band CA coexistence requirements</w:t>
      </w:r>
      <w:r>
        <w:rPr>
          <w:rFonts w:ascii="Arial" w:hAnsi="Arial" w:cs="Arial"/>
        </w:rPr>
        <w:t>”, Apple, 3GPP TSG-RAN WG4 Meeting #104-e, August 15</w:t>
      </w:r>
      <w:r>
        <w:rPr>
          <w:rFonts w:ascii="Arial" w:hAnsi="Arial" w:cs="Arial"/>
          <w:vertAlign w:val="superscript"/>
        </w:rPr>
        <w:t>th</w:t>
      </w:r>
      <w:r>
        <w:rPr>
          <w:rFonts w:ascii="Arial" w:hAnsi="Arial" w:cs="Arial"/>
        </w:rPr>
        <w:t xml:space="preserve"> – 26</w:t>
      </w:r>
      <w:r>
        <w:rPr>
          <w:rFonts w:ascii="Arial" w:hAnsi="Arial" w:cs="Arial"/>
          <w:vertAlign w:val="superscript"/>
        </w:rPr>
        <w:t>th</w:t>
      </w:r>
      <w:r>
        <w:rPr>
          <w:rFonts w:ascii="Arial" w:hAnsi="Arial" w:cs="Arial"/>
        </w:rPr>
        <w:t>, 2022</w:t>
      </w:r>
    </w:p>
    <w:sectPr w:rsidR="007B6528">
      <w:headerReference w:type="default" r:id="rId10"/>
      <w:footerReference w:type="default" r:id="rId11"/>
      <w:footerReference w:type="first" r:id="rId12"/>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DDA8E" w14:textId="77777777" w:rsidR="00CB717E" w:rsidRDefault="00CB717E">
      <w:pPr>
        <w:spacing w:after="0"/>
      </w:pPr>
      <w:r>
        <w:separator/>
      </w:r>
    </w:p>
  </w:endnote>
  <w:endnote w:type="continuationSeparator" w:id="0">
    <w:p w14:paraId="1454871F" w14:textId="77777777" w:rsidR="00CB717E" w:rsidRDefault="00CB71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7777777" w:rsidR="007B6528" w:rsidRDefault="00F257E9">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8AE6E" w14:textId="77777777" w:rsidR="00CB717E" w:rsidRDefault="00CB717E">
      <w:pPr>
        <w:spacing w:after="0"/>
      </w:pPr>
      <w:r>
        <w:separator/>
      </w:r>
    </w:p>
  </w:footnote>
  <w:footnote w:type="continuationSeparator" w:id="0">
    <w:p w14:paraId="6D223498" w14:textId="77777777" w:rsidR="00CB717E" w:rsidRDefault="00CB71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77777777"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9286072">
    <w:abstractNumId w:val="0"/>
  </w:num>
  <w:num w:numId="2" w16cid:durableId="1549103082">
    <w:abstractNumId w:val="1"/>
  </w:num>
  <w:num w:numId="3" w16cid:durableId="1629315995">
    <w:abstractNumId w:val="3"/>
  </w:num>
  <w:num w:numId="4" w16cid:durableId="1933394270">
    <w:abstractNumId w:val="4"/>
  </w:num>
  <w:num w:numId="5" w16cid:durableId="1937403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55"/>
    <w:rsid w:val="0000623D"/>
    <w:rsid w:val="000109CF"/>
    <w:rsid w:val="00011106"/>
    <w:rsid w:val="00013E09"/>
    <w:rsid w:val="000202FB"/>
    <w:rsid w:val="00026F78"/>
    <w:rsid w:val="00030984"/>
    <w:rsid w:val="000322FE"/>
    <w:rsid w:val="00033397"/>
    <w:rsid w:val="00040095"/>
    <w:rsid w:val="00045A0E"/>
    <w:rsid w:val="00045CE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909F7"/>
    <w:rsid w:val="0009222E"/>
    <w:rsid w:val="00092E3F"/>
    <w:rsid w:val="000A0C3B"/>
    <w:rsid w:val="000A2421"/>
    <w:rsid w:val="000A2AC4"/>
    <w:rsid w:val="000A365D"/>
    <w:rsid w:val="000A68F3"/>
    <w:rsid w:val="000B3335"/>
    <w:rsid w:val="000B505F"/>
    <w:rsid w:val="000B541D"/>
    <w:rsid w:val="000B61A8"/>
    <w:rsid w:val="000B61FB"/>
    <w:rsid w:val="000C47C3"/>
    <w:rsid w:val="000D58AB"/>
    <w:rsid w:val="000D6E67"/>
    <w:rsid w:val="000D6F30"/>
    <w:rsid w:val="000E1A37"/>
    <w:rsid w:val="000E431A"/>
    <w:rsid w:val="000E4B3C"/>
    <w:rsid w:val="000E5C81"/>
    <w:rsid w:val="000E647C"/>
    <w:rsid w:val="000F060B"/>
    <w:rsid w:val="000F7FDF"/>
    <w:rsid w:val="001007A7"/>
    <w:rsid w:val="00101DA5"/>
    <w:rsid w:val="00104BC6"/>
    <w:rsid w:val="001064E6"/>
    <w:rsid w:val="00114E2C"/>
    <w:rsid w:val="00117BAA"/>
    <w:rsid w:val="00121103"/>
    <w:rsid w:val="00133525"/>
    <w:rsid w:val="00137580"/>
    <w:rsid w:val="0013765A"/>
    <w:rsid w:val="00155765"/>
    <w:rsid w:val="00156DED"/>
    <w:rsid w:val="0015779C"/>
    <w:rsid w:val="00161EBB"/>
    <w:rsid w:val="001622BE"/>
    <w:rsid w:val="0016611C"/>
    <w:rsid w:val="0016695B"/>
    <w:rsid w:val="00166B5C"/>
    <w:rsid w:val="00167AFC"/>
    <w:rsid w:val="00174B6D"/>
    <w:rsid w:val="00175655"/>
    <w:rsid w:val="00181118"/>
    <w:rsid w:val="001823B6"/>
    <w:rsid w:val="001841B1"/>
    <w:rsid w:val="0019300D"/>
    <w:rsid w:val="0019668A"/>
    <w:rsid w:val="0019744A"/>
    <w:rsid w:val="001977DA"/>
    <w:rsid w:val="001A0650"/>
    <w:rsid w:val="001A286D"/>
    <w:rsid w:val="001A410D"/>
    <w:rsid w:val="001A4C42"/>
    <w:rsid w:val="001A5CC7"/>
    <w:rsid w:val="001B1FD6"/>
    <w:rsid w:val="001B3C76"/>
    <w:rsid w:val="001C21C3"/>
    <w:rsid w:val="001C2DA9"/>
    <w:rsid w:val="001C5802"/>
    <w:rsid w:val="001D02C2"/>
    <w:rsid w:val="001D1470"/>
    <w:rsid w:val="001D3D68"/>
    <w:rsid w:val="001D4E53"/>
    <w:rsid w:val="001D5A17"/>
    <w:rsid w:val="001E5B43"/>
    <w:rsid w:val="001E5CB6"/>
    <w:rsid w:val="001E76DE"/>
    <w:rsid w:val="001F05A2"/>
    <w:rsid w:val="001F0C1D"/>
    <w:rsid w:val="001F1132"/>
    <w:rsid w:val="001F168B"/>
    <w:rsid w:val="001F1D06"/>
    <w:rsid w:val="001F55D5"/>
    <w:rsid w:val="001F7DCD"/>
    <w:rsid w:val="00204648"/>
    <w:rsid w:val="0020766A"/>
    <w:rsid w:val="002119C8"/>
    <w:rsid w:val="00216B81"/>
    <w:rsid w:val="002242B0"/>
    <w:rsid w:val="002347A2"/>
    <w:rsid w:val="002433C7"/>
    <w:rsid w:val="002450A4"/>
    <w:rsid w:val="00247926"/>
    <w:rsid w:val="00261B7C"/>
    <w:rsid w:val="0026424E"/>
    <w:rsid w:val="002675F0"/>
    <w:rsid w:val="0027160A"/>
    <w:rsid w:val="00271C96"/>
    <w:rsid w:val="00275D9D"/>
    <w:rsid w:val="00276EE4"/>
    <w:rsid w:val="00281B62"/>
    <w:rsid w:val="00282015"/>
    <w:rsid w:val="00285645"/>
    <w:rsid w:val="002915C9"/>
    <w:rsid w:val="00297D96"/>
    <w:rsid w:val="002A1942"/>
    <w:rsid w:val="002A2A03"/>
    <w:rsid w:val="002A57D0"/>
    <w:rsid w:val="002B2E81"/>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58CA"/>
    <w:rsid w:val="002F14CE"/>
    <w:rsid w:val="002F163F"/>
    <w:rsid w:val="002F1A0B"/>
    <w:rsid w:val="00301A90"/>
    <w:rsid w:val="00301BA3"/>
    <w:rsid w:val="00304174"/>
    <w:rsid w:val="00311253"/>
    <w:rsid w:val="003137DA"/>
    <w:rsid w:val="003164A2"/>
    <w:rsid w:val="003172DC"/>
    <w:rsid w:val="00317DA6"/>
    <w:rsid w:val="00324EE9"/>
    <w:rsid w:val="00325598"/>
    <w:rsid w:val="00333AB7"/>
    <w:rsid w:val="00335A5F"/>
    <w:rsid w:val="0034052F"/>
    <w:rsid w:val="0034056C"/>
    <w:rsid w:val="00342AC6"/>
    <w:rsid w:val="0034301D"/>
    <w:rsid w:val="003444E2"/>
    <w:rsid w:val="00351D98"/>
    <w:rsid w:val="00353AFA"/>
    <w:rsid w:val="0035462D"/>
    <w:rsid w:val="00355CF0"/>
    <w:rsid w:val="00356B73"/>
    <w:rsid w:val="00361F25"/>
    <w:rsid w:val="00371C90"/>
    <w:rsid w:val="003765B8"/>
    <w:rsid w:val="003772E9"/>
    <w:rsid w:val="00377353"/>
    <w:rsid w:val="00386729"/>
    <w:rsid w:val="003926D8"/>
    <w:rsid w:val="00396C5D"/>
    <w:rsid w:val="003A0483"/>
    <w:rsid w:val="003A104C"/>
    <w:rsid w:val="003A293C"/>
    <w:rsid w:val="003B20CE"/>
    <w:rsid w:val="003B302C"/>
    <w:rsid w:val="003B56B1"/>
    <w:rsid w:val="003C0F12"/>
    <w:rsid w:val="003C3971"/>
    <w:rsid w:val="003C46B9"/>
    <w:rsid w:val="003C5DAB"/>
    <w:rsid w:val="003C613C"/>
    <w:rsid w:val="003C6A8C"/>
    <w:rsid w:val="003C6F54"/>
    <w:rsid w:val="003D1219"/>
    <w:rsid w:val="003D2C99"/>
    <w:rsid w:val="003D3FA9"/>
    <w:rsid w:val="003E3218"/>
    <w:rsid w:val="003E6202"/>
    <w:rsid w:val="003E7753"/>
    <w:rsid w:val="003F0C6B"/>
    <w:rsid w:val="003F15CD"/>
    <w:rsid w:val="003F5632"/>
    <w:rsid w:val="003F6ACE"/>
    <w:rsid w:val="003F788E"/>
    <w:rsid w:val="00403E33"/>
    <w:rsid w:val="00413DB8"/>
    <w:rsid w:val="00414EF2"/>
    <w:rsid w:val="0041733B"/>
    <w:rsid w:val="00417F37"/>
    <w:rsid w:val="00420D44"/>
    <w:rsid w:val="00420EDA"/>
    <w:rsid w:val="004228CF"/>
    <w:rsid w:val="004229F4"/>
    <w:rsid w:val="00423334"/>
    <w:rsid w:val="00423521"/>
    <w:rsid w:val="00430996"/>
    <w:rsid w:val="00432F60"/>
    <w:rsid w:val="004345EC"/>
    <w:rsid w:val="00434AD6"/>
    <w:rsid w:val="00442674"/>
    <w:rsid w:val="00463240"/>
    <w:rsid w:val="0046781D"/>
    <w:rsid w:val="0047125D"/>
    <w:rsid w:val="004728B7"/>
    <w:rsid w:val="0047435B"/>
    <w:rsid w:val="0047564A"/>
    <w:rsid w:val="00475AC6"/>
    <w:rsid w:val="004768DA"/>
    <w:rsid w:val="00476DFF"/>
    <w:rsid w:val="0048165A"/>
    <w:rsid w:val="004819D5"/>
    <w:rsid w:val="004826A9"/>
    <w:rsid w:val="004843F2"/>
    <w:rsid w:val="004872AA"/>
    <w:rsid w:val="00490441"/>
    <w:rsid w:val="004A5DB3"/>
    <w:rsid w:val="004A69CF"/>
    <w:rsid w:val="004A7E2A"/>
    <w:rsid w:val="004B0354"/>
    <w:rsid w:val="004B1648"/>
    <w:rsid w:val="004B1751"/>
    <w:rsid w:val="004B52BA"/>
    <w:rsid w:val="004B5C7F"/>
    <w:rsid w:val="004B6E25"/>
    <w:rsid w:val="004C15E6"/>
    <w:rsid w:val="004C1601"/>
    <w:rsid w:val="004C19B3"/>
    <w:rsid w:val="004C3DE7"/>
    <w:rsid w:val="004C4B7A"/>
    <w:rsid w:val="004C602D"/>
    <w:rsid w:val="004C7164"/>
    <w:rsid w:val="004D2592"/>
    <w:rsid w:val="004D3578"/>
    <w:rsid w:val="004D49B1"/>
    <w:rsid w:val="004D5ADE"/>
    <w:rsid w:val="004E213A"/>
    <w:rsid w:val="004E4A6D"/>
    <w:rsid w:val="004E68A7"/>
    <w:rsid w:val="004F0988"/>
    <w:rsid w:val="004F3340"/>
    <w:rsid w:val="004F3E3D"/>
    <w:rsid w:val="004F5111"/>
    <w:rsid w:val="004F7DEF"/>
    <w:rsid w:val="005028AC"/>
    <w:rsid w:val="005053A0"/>
    <w:rsid w:val="00506D89"/>
    <w:rsid w:val="005076C9"/>
    <w:rsid w:val="00507853"/>
    <w:rsid w:val="00507C83"/>
    <w:rsid w:val="0051025D"/>
    <w:rsid w:val="00510858"/>
    <w:rsid w:val="005109CF"/>
    <w:rsid w:val="00517339"/>
    <w:rsid w:val="00517727"/>
    <w:rsid w:val="005203B8"/>
    <w:rsid w:val="00523D73"/>
    <w:rsid w:val="00525649"/>
    <w:rsid w:val="005303AA"/>
    <w:rsid w:val="005322DC"/>
    <w:rsid w:val="0053388B"/>
    <w:rsid w:val="00534458"/>
    <w:rsid w:val="00534BE5"/>
    <w:rsid w:val="0053541F"/>
    <w:rsid w:val="00535773"/>
    <w:rsid w:val="00537FD8"/>
    <w:rsid w:val="0054311A"/>
    <w:rsid w:val="00543E6C"/>
    <w:rsid w:val="005448A5"/>
    <w:rsid w:val="0054772A"/>
    <w:rsid w:val="00550923"/>
    <w:rsid w:val="00553BDA"/>
    <w:rsid w:val="0055584B"/>
    <w:rsid w:val="00560D89"/>
    <w:rsid w:val="00562E2C"/>
    <w:rsid w:val="00565087"/>
    <w:rsid w:val="00570662"/>
    <w:rsid w:val="00570B7D"/>
    <w:rsid w:val="00572E14"/>
    <w:rsid w:val="00586B14"/>
    <w:rsid w:val="00593B63"/>
    <w:rsid w:val="00594F57"/>
    <w:rsid w:val="005973BE"/>
    <w:rsid w:val="005975EC"/>
    <w:rsid w:val="00597EC8"/>
    <w:rsid w:val="005A0CAB"/>
    <w:rsid w:val="005A0DD1"/>
    <w:rsid w:val="005A0F3C"/>
    <w:rsid w:val="005A5986"/>
    <w:rsid w:val="005A656C"/>
    <w:rsid w:val="005B4516"/>
    <w:rsid w:val="005C0B3C"/>
    <w:rsid w:val="005C4580"/>
    <w:rsid w:val="005D0772"/>
    <w:rsid w:val="005D2E01"/>
    <w:rsid w:val="005D7526"/>
    <w:rsid w:val="005E22E0"/>
    <w:rsid w:val="005E69AE"/>
    <w:rsid w:val="00600D57"/>
    <w:rsid w:val="00602AEA"/>
    <w:rsid w:val="006054D7"/>
    <w:rsid w:val="006073EA"/>
    <w:rsid w:val="00607E3C"/>
    <w:rsid w:val="00614FDF"/>
    <w:rsid w:val="006155FF"/>
    <w:rsid w:val="00617BD2"/>
    <w:rsid w:val="00617C29"/>
    <w:rsid w:val="00621028"/>
    <w:rsid w:val="00621351"/>
    <w:rsid w:val="00624566"/>
    <w:rsid w:val="006246A7"/>
    <w:rsid w:val="00625205"/>
    <w:rsid w:val="0062595A"/>
    <w:rsid w:val="0063543D"/>
    <w:rsid w:val="0063583B"/>
    <w:rsid w:val="006365C9"/>
    <w:rsid w:val="00637D9E"/>
    <w:rsid w:val="006435FD"/>
    <w:rsid w:val="00644A76"/>
    <w:rsid w:val="00647114"/>
    <w:rsid w:val="006528E0"/>
    <w:rsid w:val="0065560D"/>
    <w:rsid w:val="00662106"/>
    <w:rsid w:val="0066653C"/>
    <w:rsid w:val="006668F5"/>
    <w:rsid w:val="00676593"/>
    <w:rsid w:val="006810ED"/>
    <w:rsid w:val="00682A6B"/>
    <w:rsid w:val="006847A0"/>
    <w:rsid w:val="00693AA6"/>
    <w:rsid w:val="006A2134"/>
    <w:rsid w:val="006A2C3D"/>
    <w:rsid w:val="006A323F"/>
    <w:rsid w:val="006A7137"/>
    <w:rsid w:val="006A754B"/>
    <w:rsid w:val="006B30D0"/>
    <w:rsid w:val="006B4526"/>
    <w:rsid w:val="006B55D4"/>
    <w:rsid w:val="006C228A"/>
    <w:rsid w:val="006C3D95"/>
    <w:rsid w:val="006C54EF"/>
    <w:rsid w:val="006D7B72"/>
    <w:rsid w:val="006E1833"/>
    <w:rsid w:val="006E5C86"/>
    <w:rsid w:val="006F5F8C"/>
    <w:rsid w:val="0070556D"/>
    <w:rsid w:val="00706FEF"/>
    <w:rsid w:val="007114D4"/>
    <w:rsid w:val="00713C44"/>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09"/>
    <w:rsid w:val="00753881"/>
    <w:rsid w:val="007551EB"/>
    <w:rsid w:val="00755F93"/>
    <w:rsid w:val="007668BD"/>
    <w:rsid w:val="00772FB5"/>
    <w:rsid w:val="00773E20"/>
    <w:rsid w:val="00774DA4"/>
    <w:rsid w:val="00776519"/>
    <w:rsid w:val="00781F0F"/>
    <w:rsid w:val="00782AB9"/>
    <w:rsid w:val="007877F7"/>
    <w:rsid w:val="00796D43"/>
    <w:rsid w:val="007A093E"/>
    <w:rsid w:val="007A2285"/>
    <w:rsid w:val="007A71CD"/>
    <w:rsid w:val="007B22B1"/>
    <w:rsid w:val="007B2327"/>
    <w:rsid w:val="007B600E"/>
    <w:rsid w:val="007B6528"/>
    <w:rsid w:val="007E043F"/>
    <w:rsid w:val="007E559C"/>
    <w:rsid w:val="007E5AE9"/>
    <w:rsid w:val="007F0F4A"/>
    <w:rsid w:val="007F217A"/>
    <w:rsid w:val="007F2779"/>
    <w:rsid w:val="008000C9"/>
    <w:rsid w:val="008028A4"/>
    <w:rsid w:val="00813076"/>
    <w:rsid w:val="00813BA9"/>
    <w:rsid w:val="0081723D"/>
    <w:rsid w:val="00820B25"/>
    <w:rsid w:val="008214C4"/>
    <w:rsid w:val="00827D27"/>
    <w:rsid w:val="00827EA2"/>
    <w:rsid w:val="00830747"/>
    <w:rsid w:val="00834916"/>
    <w:rsid w:val="00855805"/>
    <w:rsid w:val="008564ED"/>
    <w:rsid w:val="00857763"/>
    <w:rsid w:val="00857DED"/>
    <w:rsid w:val="00871F31"/>
    <w:rsid w:val="00875600"/>
    <w:rsid w:val="008768CA"/>
    <w:rsid w:val="008779A7"/>
    <w:rsid w:val="00883E90"/>
    <w:rsid w:val="00886D52"/>
    <w:rsid w:val="0089062C"/>
    <w:rsid w:val="008914E6"/>
    <w:rsid w:val="00891C35"/>
    <w:rsid w:val="00894F5A"/>
    <w:rsid w:val="0089786F"/>
    <w:rsid w:val="008A3527"/>
    <w:rsid w:val="008A5F18"/>
    <w:rsid w:val="008A645A"/>
    <w:rsid w:val="008B50F9"/>
    <w:rsid w:val="008B5275"/>
    <w:rsid w:val="008B58D4"/>
    <w:rsid w:val="008C018B"/>
    <w:rsid w:val="008C0642"/>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58C3"/>
    <w:rsid w:val="00925AB6"/>
    <w:rsid w:val="00926405"/>
    <w:rsid w:val="00926C25"/>
    <w:rsid w:val="00930919"/>
    <w:rsid w:val="00935DA5"/>
    <w:rsid w:val="00940B40"/>
    <w:rsid w:val="00942EC2"/>
    <w:rsid w:val="00945DDF"/>
    <w:rsid w:val="0094625B"/>
    <w:rsid w:val="00950216"/>
    <w:rsid w:val="0095039B"/>
    <w:rsid w:val="00952398"/>
    <w:rsid w:val="00952B1C"/>
    <w:rsid w:val="00952E04"/>
    <w:rsid w:val="00955390"/>
    <w:rsid w:val="009565CF"/>
    <w:rsid w:val="00965947"/>
    <w:rsid w:val="009748CC"/>
    <w:rsid w:val="00983D08"/>
    <w:rsid w:val="00984404"/>
    <w:rsid w:val="00986DFB"/>
    <w:rsid w:val="00987F2C"/>
    <w:rsid w:val="00990B3B"/>
    <w:rsid w:val="009929FF"/>
    <w:rsid w:val="009B1E17"/>
    <w:rsid w:val="009B373D"/>
    <w:rsid w:val="009C54F7"/>
    <w:rsid w:val="009D38F9"/>
    <w:rsid w:val="009D463A"/>
    <w:rsid w:val="009D5C3A"/>
    <w:rsid w:val="009E2A1B"/>
    <w:rsid w:val="009E462B"/>
    <w:rsid w:val="009F0FC6"/>
    <w:rsid w:val="009F37B7"/>
    <w:rsid w:val="009F5E43"/>
    <w:rsid w:val="00A03180"/>
    <w:rsid w:val="00A03953"/>
    <w:rsid w:val="00A0698C"/>
    <w:rsid w:val="00A06AAF"/>
    <w:rsid w:val="00A10F02"/>
    <w:rsid w:val="00A13BCD"/>
    <w:rsid w:val="00A13C2E"/>
    <w:rsid w:val="00A14D3F"/>
    <w:rsid w:val="00A164B4"/>
    <w:rsid w:val="00A1761C"/>
    <w:rsid w:val="00A2000D"/>
    <w:rsid w:val="00A20472"/>
    <w:rsid w:val="00A22B93"/>
    <w:rsid w:val="00A24097"/>
    <w:rsid w:val="00A26956"/>
    <w:rsid w:val="00A3100D"/>
    <w:rsid w:val="00A36A9B"/>
    <w:rsid w:val="00A40682"/>
    <w:rsid w:val="00A46291"/>
    <w:rsid w:val="00A46C3B"/>
    <w:rsid w:val="00A536F4"/>
    <w:rsid w:val="00A53724"/>
    <w:rsid w:val="00A612AD"/>
    <w:rsid w:val="00A6152B"/>
    <w:rsid w:val="00A625A6"/>
    <w:rsid w:val="00A62CC4"/>
    <w:rsid w:val="00A67816"/>
    <w:rsid w:val="00A7175A"/>
    <w:rsid w:val="00A73129"/>
    <w:rsid w:val="00A75621"/>
    <w:rsid w:val="00A82055"/>
    <w:rsid w:val="00A82346"/>
    <w:rsid w:val="00A83518"/>
    <w:rsid w:val="00A92BA1"/>
    <w:rsid w:val="00A942D0"/>
    <w:rsid w:val="00AA00A5"/>
    <w:rsid w:val="00AA1FB5"/>
    <w:rsid w:val="00AA3724"/>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3797"/>
    <w:rsid w:val="00AE3846"/>
    <w:rsid w:val="00AE764B"/>
    <w:rsid w:val="00AF133E"/>
    <w:rsid w:val="00AF3857"/>
    <w:rsid w:val="00AF4AA4"/>
    <w:rsid w:val="00AF5B46"/>
    <w:rsid w:val="00AF7AB0"/>
    <w:rsid w:val="00B05D02"/>
    <w:rsid w:val="00B14734"/>
    <w:rsid w:val="00B14FC1"/>
    <w:rsid w:val="00B150E6"/>
    <w:rsid w:val="00B15449"/>
    <w:rsid w:val="00B164A3"/>
    <w:rsid w:val="00B17B75"/>
    <w:rsid w:val="00B231E1"/>
    <w:rsid w:val="00B24006"/>
    <w:rsid w:val="00B2629A"/>
    <w:rsid w:val="00B30350"/>
    <w:rsid w:val="00B318E4"/>
    <w:rsid w:val="00B345DF"/>
    <w:rsid w:val="00B35505"/>
    <w:rsid w:val="00B42A9D"/>
    <w:rsid w:val="00B4376F"/>
    <w:rsid w:val="00B4679C"/>
    <w:rsid w:val="00B50292"/>
    <w:rsid w:val="00B51CDC"/>
    <w:rsid w:val="00B53267"/>
    <w:rsid w:val="00B571DA"/>
    <w:rsid w:val="00B574A0"/>
    <w:rsid w:val="00B61F15"/>
    <w:rsid w:val="00B62EB2"/>
    <w:rsid w:val="00B6381B"/>
    <w:rsid w:val="00B63EC4"/>
    <w:rsid w:val="00B65B0B"/>
    <w:rsid w:val="00B65EF0"/>
    <w:rsid w:val="00B70DAA"/>
    <w:rsid w:val="00B76FBB"/>
    <w:rsid w:val="00B82422"/>
    <w:rsid w:val="00B85057"/>
    <w:rsid w:val="00B863E2"/>
    <w:rsid w:val="00B90A66"/>
    <w:rsid w:val="00B90C16"/>
    <w:rsid w:val="00B93086"/>
    <w:rsid w:val="00B94BAF"/>
    <w:rsid w:val="00B97D6A"/>
    <w:rsid w:val="00BA19ED"/>
    <w:rsid w:val="00BA300B"/>
    <w:rsid w:val="00BA4B8D"/>
    <w:rsid w:val="00BB75F0"/>
    <w:rsid w:val="00BC0F7D"/>
    <w:rsid w:val="00BC2989"/>
    <w:rsid w:val="00BC4461"/>
    <w:rsid w:val="00BD0172"/>
    <w:rsid w:val="00BD0A99"/>
    <w:rsid w:val="00BD24FF"/>
    <w:rsid w:val="00BD5628"/>
    <w:rsid w:val="00BE2532"/>
    <w:rsid w:val="00BE3255"/>
    <w:rsid w:val="00BF128E"/>
    <w:rsid w:val="00BF3FE4"/>
    <w:rsid w:val="00BF4C3B"/>
    <w:rsid w:val="00BF6A1B"/>
    <w:rsid w:val="00C01596"/>
    <w:rsid w:val="00C0382F"/>
    <w:rsid w:val="00C11580"/>
    <w:rsid w:val="00C1199E"/>
    <w:rsid w:val="00C124A0"/>
    <w:rsid w:val="00C131E6"/>
    <w:rsid w:val="00C1496A"/>
    <w:rsid w:val="00C26949"/>
    <w:rsid w:val="00C3061E"/>
    <w:rsid w:val="00C30DBB"/>
    <w:rsid w:val="00C33079"/>
    <w:rsid w:val="00C3403D"/>
    <w:rsid w:val="00C358C6"/>
    <w:rsid w:val="00C40EB1"/>
    <w:rsid w:val="00C41FEE"/>
    <w:rsid w:val="00C42936"/>
    <w:rsid w:val="00C45231"/>
    <w:rsid w:val="00C5150C"/>
    <w:rsid w:val="00C54839"/>
    <w:rsid w:val="00C54C23"/>
    <w:rsid w:val="00C575E9"/>
    <w:rsid w:val="00C64587"/>
    <w:rsid w:val="00C71329"/>
    <w:rsid w:val="00C71DA1"/>
    <w:rsid w:val="00C7217D"/>
    <w:rsid w:val="00C72833"/>
    <w:rsid w:val="00C80C12"/>
    <w:rsid w:val="00C80F1D"/>
    <w:rsid w:val="00C87227"/>
    <w:rsid w:val="00C91CE2"/>
    <w:rsid w:val="00C93F40"/>
    <w:rsid w:val="00C94AAB"/>
    <w:rsid w:val="00C97B9B"/>
    <w:rsid w:val="00CA3D0C"/>
    <w:rsid w:val="00CA722E"/>
    <w:rsid w:val="00CB05F4"/>
    <w:rsid w:val="00CB23E6"/>
    <w:rsid w:val="00CB717E"/>
    <w:rsid w:val="00CC0364"/>
    <w:rsid w:val="00CC2401"/>
    <w:rsid w:val="00CC53DB"/>
    <w:rsid w:val="00CC6588"/>
    <w:rsid w:val="00CD25A6"/>
    <w:rsid w:val="00CD4020"/>
    <w:rsid w:val="00CD604C"/>
    <w:rsid w:val="00CE2F48"/>
    <w:rsid w:val="00CE6DD7"/>
    <w:rsid w:val="00CF20E3"/>
    <w:rsid w:val="00CF4D0D"/>
    <w:rsid w:val="00CF5288"/>
    <w:rsid w:val="00CF65B5"/>
    <w:rsid w:val="00CF699A"/>
    <w:rsid w:val="00D0314D"/>
    <w:rsid w:val="00D03C06"/>
    <w:rsid w:val="00D06559"/>
    <w:rsid w:val="00D07C1B"/>
    <w:rsid w:val="00D14617"/>
    <w:rsid w:val="00D23897"/>
    <w:rsid w:val="00D306E6"/>
    <w:rsid w:val="00D309CC"/>
    <w:rsid w:val="00D35C6E"/>
    <w:rsid w:val="00D364EA"/>
    <w:rsid w:val="00D463BE"/>
    <w:rsid w:val="00D463D6"/>
    <w:rsid w:val="00D46431"/>
    <w:rsid w:val="00D56A52"/>
    <w:rsid w:val="00D57055"/>
    <w:rsid w:val="00D57972"/>
    <w:rsid w:val="00D62664"/>
    <w:rsid w:val="00D675A9"/>
    <w:rsid w:val="00D7106C"/>
    <w:rsid w:val="00D738D6"/>
    <w:rsid w:val="00D755EB"/>
    <w:rsid w:val="00D77F34"/>
    <w:rsid w:val="00D82723"/>
    <w:rsid w:val="00D8507E"/>
    <w:rsid w:val="00D8753A"/>
    <w:rsid w:val="00D87E00"/>
    <w:rsid w:val="00D9033A"/>
    <w:rsid w:val="00D9134D"/>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09FA"/>
    <w:rsid w:val="00DF2B1F"/>
    <w:rsid w:val="00DF464B"/>
    <w:rsid w:val="00DF51B9"/>
    <w:rsid w:val="00DF6189"/>
    <w:rsid w:val="00DF62CD"/>
    <w:rsid w:val="00E1178B"/>
    <w:rsid w:val="00E16509"/>
    <w:rsid w:val="00E200B7"/>
    <w:rsid w:val="00E20C47"/>
    <w:rsid w:val="00E22CCA"/>
    <w:rsid w:val="00E2413E"/>
    <w:rsid w:val="00E25D99"/>
    <w:rsid w:val="00E30624"/>
    <w:rsid w:val="00E31F9C"/>
    <w:rsid w:val="00E335EE"/>
    <w:rsid w:val="00E33F43"/>
    <w:rsid w:val="00E357E3"/>
    <w:rsid w:val="00E40520"/>
    <w:rsid w:val="00E42812"/>
    <w:rsid w:val="00E43FA4"/>
    <w:rsid w:val="00E44582"/>
    <w:rsid w:val="00E50162"/>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5123"/>
    <w:rsid w:val="00EB1E4E"/>
    <w:rsid w:val="00EB29D5"/>
    <w:rsid w:val="00EB5978"/>
    <w:rsid w:val="00EB6DF9"/>
    <w:rsid w:val="00EC1283"/>
    <w:rsid w:val="00EC2636"/>
    <w:rsid w:val="00EC333A"/>
    <w:rsid w:val="00EC4847"/>
    <w:rsid w:val="00EC4A25"/>
    <w:rsid w:val="00EC4A97"/>
    <w:rsid w:val="00EC5547"/>
    <w:rsid w:val="00EC55DC"/>
    <w:rsid w:val="00ED21B2"/>
    <w:rsid w:val="00ED3490"/>
    <w:rsid w:val="00ED46F8"/>
    <w:rsid w:val="00EE0853"/>
    <w:rsid w:val="00EE5AA7"/>
    <w:rsid w:val="00EE647A"/>
    <w:rsid w:val="00EF70F3"/>
    <w:rsid w:val="00F025A2"/>
    <w:rsid w:val="00F0387D"/>
    <w:rsid w:val="00F04712"/>
    <w:rsid w:val="00F05A9A"/>
    <w:rsid w:val="00F05E68"/>
    <w:rsid w:val="00F06F13"/>
    <w:rsid w:val="00F10C13"/>
    <w:rsid w:val="00F11797"/>
    <w:rsid w:val="00F139DD"/>
    <w:rsid w:val="00F164A5"/>
    <w:rsid w:val="00F2012F"/>
    <w:rsid w:val="00F21311"/>
    <w:rsid w:val="00F22EC7"/>
    <w:rsid w:val="00F257E9"/>
    <w:rsid w:val="00F273A7"/>
    <w:rsid w:val="00F301AE"/>
    <w:rsid w:val="00F325C8"/>
    <w:rsid w:val="00F35AB6"/>
    <w:rsid w:val="00F479E3"/>
    <w:rsid w:val="00F51B2A"/>
    <w:rsid w:val="00F5383E"/>
    <w:rsid w:val="00F53D32"/>
    <w:rsid w:val="00F554C0"/>
    <w:rsid w:val="00F62AEB"/>
    <w:rsid w:val="00F653B8"/>
    <w:rsid w:val="00F70647"/>
    <w:rsid w:val="00F726BB"/>
    <w:rsid w:val="00F73306"/>
    <w:rsid w:val="00F7495C"/>
    <w:rsid w:val="00F81329"/>
    <w:rsid w:val="00F82B63"/>
    <w:rsid w:val="00F83CC5"/>
    <w:rsid w:val="00F87D29"/>
    <w:rsid w:val="00F92808"/>
    <w:rsid w:val="00F92A73"/>
    <w:rsid w:val="00FA0FE9"/>
    <w:rsid w:val="00FA1266"/>
    <w:rsid w:val="00FA3C65"/>
    <w:rsid w:val="00FB5750"/>
    <w:rsid w:val="00FC1192"/>
    <w:rsid w:val="00FC7F4C"/>
    <w:rsid w:val="00FD600B"/>
    <w:rsid w:val="00FD7F67"/>
    <w:rsid w:val="00FE2102"/>
    <w:rsid w:val="00FE283A"/>
    <w:rsid w:val="00FE30ED"/>
    <w:rsid w:val="00FE663F"/>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C00795B0-BDA6-41DD-83A6-D68229EE2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F3D4D-8DD6-4C1F-8D65-00B7C09C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0</TotalTime>
  <Pages>2</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James Wang</cp:lastModifiedBy>
  <cp:revision>2</cp:revision>
  <cp:lastPrinted>2019-02-25T14:05:00Z</cp:lastPrinted>
  <dcterms:created xsi:type="dcterms:W3CDTF">2022-08-25T18:05:00Z</dcterms:created>
  <dcterms:modified xsi:type="dcterms:W3CDTF">2022-08-25T18:05:00Z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